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cs="仿宋_GB2312"/>
        </w:rPr>
      </w:pPr>
      <w:bookmarkStart w:id="0" w:name="_Toc8434"/>
      <w:r>
        <w:rPr>
          <w:rFonts w:hint="eastAsia"/>
          <w:lang w:eastAsia="zh-CN"/>
        </w:rPr>
        <w:t>碳酸钠</w:t>
      </w:r>
      <w:r>
        <w:rPr>
          <w:rFonts w:hint="eastAsia"/>
        </w:rPr>
        <w:t>安全信息卡</w:t>
      </w:r>
      <w:r>
        <w:rPr>
          <w:rFonts w:hint="eastAsia" w:ascii="仿宋_GB2312" w:hAnsi="仿宋_GB2312" w:cs="仿宋_GB2312"/>
        </w:rPr>
        <w:t>（MSDS卡）</w:t>
      </w:r>
      <w:bookmarkEnd w:id="0"/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30"/>
        <w:gridCol w:w="315"/>
        <w:gridCol w:w="516"/>
        <w:gridCol w:w="759"/>
        <w:gridCol w:w="570"/>
        <w:gridCol w:w="525"/>
        <w:gridCol w:w="606"/>
        <w:gridCol w:w="426"/>
        <w:gridCol w:w="850"/>
        <w:gridCol w:w="484"/>
        <w:gridCol w:w="93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第一部分：化学品信息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化学品中文名称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碳酸钠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化学品俗名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纯碱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化学品英文名称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sodium carbonate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Na2CO3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105.99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CAS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497-19-8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第二部分：理化特性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外观与性状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白色粉末或细颗粒(无水纯品)，味涩。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相对密度（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2.53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引燃温度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爆炸下限%（V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爆炸上限%（V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闪点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熔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点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851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溶解性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易溶于水，不溶于乙醇、乙醚等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第三部分：职业接触限值/危害信息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职业接触限值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未制定标准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货物编号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健康危害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本品具有刺激性和腐蚀性。直接接触可引起皮肤和眼灼伤。生产中吸入其粉尘和烟雾可引起呼吸道刺激和结膜炎，还可有鼻粘膜溃疡、萎缩及鼻中隔穿孔。长时间接触本品溶液可发生湿疹、皮炎、鸡眼状溃疡和皮肤松驰。接触本品的作业工人呼吸器官疾病发病率升高。误服可造成消化道灼伤、粘膜糜烂、出血和休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危险特性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本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品不燃，具腐蚀性、刺激性，可致人体灼伤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第四部分：储存方法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储存于阴凉、通风的库房。远离火种、热源。应与酸类等分开存放，切忌混储。储区应备有合适的材料收容泄漏物。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第五部分：应急处置原则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危害途径与急救措施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225" w:afterAutospacing="0" w:line="360" w:lineRule="atLeas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 xml:space="preserve">皮肤接触：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立即脱去污染的衣着，用大量流动清水冲洗至少15分钟。就医。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 xml:space="preserve">眼睛接触：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立即提起眼睑，用大量流动清水或生理盐水彻底冲洗至少15分钟。就医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 xml:space="preserve">。吸入：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脱离现场至空气新鲜处。如呼吸困难，给输氧。就医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 xml:space="preserve">。食入：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用水漱口，给饮牛奶或蛋清。就医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消防措施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消防人员必须穿全身耐酸碱消防服。灭火时尽可能将容器从火场移至空旷处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第六部分：稳定性和反应性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稳定性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禁配物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225" w:afterAutospacing="0" w:line="360" w:lineRule="atLeast"/>
              <w:jc w:val="left"/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强酸、铝、氟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避免接触的条件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潮湿空气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聚合危害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225" w:afterAutospacing="0" w:line="360" w:lineRule="atLeast"/>
              <w:jc w:val="left"/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无聚合危险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分解产物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5021"/>
    <w:rsid w:val="1653255D"/>
    <w:rsid w:val="22FF70C4"/>
    <w:rsid w:val="2350647D"/>
    <w:rsid w:val="2F6E6DEE"/>
    <w:rsid w:val="30AE5029"/>
    <w:rsid w:val="341C59B6"/>
    <w:rsid w:val="3DC3377E"/>
    <w:rsid w:val="41EC0D67"/>
    <w:rsid w:val="462D19D5"/>
    <w:rsid w:val="56C22438"/>
    <w:rsid w:val="58901363"/>
    <w:rsid w:val="67A25972"/>
    <w:rsid w:val="749850B3"/>
    <w:rsid w:val="754C7568"/>
    <w:rsid w:val="77816A77"/>
    <w:rsid w:val="77E342D1"/>
    <w:rsid w:val="7E8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2020-10-13T03:24:00Z</dcterms:created>
  <dc:creator>YY</dc:creator>
  <cp:lastModifiedBy>YY</cp:lastModifiedBy>
  <dcterms:modified xsi:type="dcterms:W3CDTF">2020-11-10T08:19:23Z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