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65585A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稀酸主操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65585A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磷酸车间稀酸主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稀酸主操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稀酸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6558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5585A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遵守本岗位的《稀酸操作规程》、工艺指标，及时处置DCS报警联锁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BA6E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6558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5585A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65585A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稀酸</w:t>
            </w:r>
            <w:r w:rsidRPr="0065585A">
              <w:rPr>
                <w:rFonts w:ascii="仿宋_GB2312" w:eastAsia="仿宋_GB2312" w:hAnsi="宋体" w:hint="eastAsia"/>
                <w:sz w:val="24"/>
              </w:rPr>
              <w:t>岗位</w:t>
            </w:r>
            <w:r w:rsidRPr="0065585A">
              <w:rPr>
                <w:rFonts w:ascii="仿宋_GB2312" w:eastAsia="仿宋_GB2312" w:hAnsi="宋体" w:hint="eastAsia"/>
                <w:sz w:val="24"/>
                <w:lang w:val="zh-CN"/>
              </w:rPr>
              <w:t>中控室</w:t>
            </w:r>
            <w:r w:rsidRPr="0065585A">
              <w:rPr>
                <w:rFonts w:ascii="仿宋_GB2312" w:eastAsia="仿宋_GB2312" w:hAnsi="宋体" w:hint="eastAsia"/>
                <w:sz w:val="24"/>
              </w:rPr>
              <w:t>内应急、监测、消防设施情况</w:t>
            </w:r>
            <w:r w:rsidRPr="0065585A">
              <w:rPr>
                <w:rFonts w:ascii="仿宋_GB2312" w:eastAsia="仿宋_GB2312" w:hAnsi="宋体" w:hint="eastAsia"/>
                <w:sz w:val="24"/>
                <w:lang w:val="zh-CN"/>
              </w:rPr>
              <w:t>进行检查，</w:t>
            </w:r>
            <w:r w:rsidRPr="0065585A">
              <w:rPr>
                <w:rFonts w:ascii="仿宋_GB2312" w:eastAsia="仿宋_GB2312" w:hAnsi="宋体" w:hint="eastAsia"/>
                <w:sz w:val="24"/>
              </w:rPr>
              <w:t>并形成记录，</w:t>
            </w:r>
            <w:r w:rsidRPr="0065585A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有异常及时处理、汇报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8C038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磷酸车间稀酸主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9842E7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起重伤害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1、吊装和指挥人员必须经国家有关部门特殊工种专门培训,考试合格，持证上岗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2、作业前必须对起重机的机械、电气、安全设施进行全面检查，确保完好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3、作业现场专人指挥,信号明确；紧急情况，任何人发出的停车指令都必须立即停止作业。作业现场必须专人监护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4、吊装应有完善的吊装方案,划定警戒线，设置安全标志，禁止无关人员入内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5、夜间作业现场要有充足的照明</w:t>
            </w:r>
          </w:p>
        </w:tc>
      </w:tr>
      <w:tr w:rsidR="0065585A" w:rsidTr="0065585A">
        <w:trPr>
          <w:trHeight w:val="540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65585A" w:rsidRDefault="0065585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5585A" w:rsidRDefault="0065585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E0F19">
              <w:rPr>
                <w:rFonts w:ascii="仿宋_GB2312" w:eastAsia="仿宋_GB2312" w:hint="eastAsia"/>
                <w:bCs/>
              </w:rPr>
              <w:t>6、严格执行“十不吊”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65585A">
      <w:pPr>
        <w:ind w:firstLineChars="500" w:firstLine="1807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稀酸主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4072BE">
        <w:trPr>
          <w:trHeight w:val="8673"/>
          <w:jc w:val="center"/>
        </w:trPr>
        <w:tc>
          <w:tcPr>
            <w:tcW w:w="2313" w:type="dxa"/>
            <w:vAlign w:val="center"/>
          </w:tcPr>
          <w:p w:rsidR="00E241AF" w:rsidRDefault="000F4439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稀酸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65585A" w:rsidRPr="000F4439" w:rsidRDefault="0065585A" w:rsidP="0065585A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1、反应料浆温度 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75～90℃。</w:t>
            </w:r>
          </w:p>
          <w:p w:rsidR="0065585A" w:rsidRPr="000F4439" w:rsidRDefault="0065585A" w:rsidP="0065585A">
            <w:pPr>
              <w:rPr>
                <w:rFonts w:ascii="仿宋_GB2312" w:eastAsia="仿宋_GB2312" w:hAnsi="仿宋" w:cs="仿宋"/>
                <w:sz w:val="22"/>
                <w:szCs w:val="21"/>
                <w:shd w:val="clear" w:color="auto" w:fill="FFFFFF"/>
              </w:rPr>
            </w:pP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2、反应料浆液相SO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3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浓度  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0.025～0.045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 g/ml。</w:t>
            </w:r>
          </w:p>
          <w:p w:rsidR="0065585A" w:rsidRPr="000F4439" w:rsidRDefault="0065585A" w:rsidP="0065585A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3、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反应料浆液固比  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1.8～3.0:1。</w:t>
            </w:r>
          </w:p>
          <w:p w:rsidR="0065585A" w:rsidRPr="000F4439" w:rsidRDefault="0065585A" w:rsidP="0065585A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4、成品磷酸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P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2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O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5</w:t>
            </w:r>
            <w:r w:rsidRPr="000F4439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含量  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22.0～25.0</w:t>
            </w:r>
          </w:p>
          <w:p w:rsidR="0065585A" w:rsidRPr="000F4439" w:rsidRDefault="0065585A" w:rsidP="0065585A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5、萃取率</w:t>
            </w:r>
            <w:r w:rsidRPr="000F4439">
              <w:rPr>
                <w:rFonts w:ascii="宋体" w:hAnsi="宋体" w:cs="仿宋_GB2312" w:hint="eastAsia"/>
                <w:sz w:val="22"/>
                <w:szCs w:val="21"/>
              </w:rPr>
              <w:t>≥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96.8%</w:t>
            </w:r>
          </w:p>
          <w:p w:rsidR="004072BE" w:rsidRDefault="004072BE" w:rsidP="0065585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6、洗涤率</w:t>
            </w:r>
            <w:r w:rsidRPr="000F4439">
              <w:rPr>
                <w:rFonts w:ascii="宋体" w:hAnsi="宋体" w:cs="仿宋_GB2312" w:hint="eastAsia"/>
                <w:sz w:val="22"/>
                <w:szCs w:val="21"/>
              </w:rPr>
              <w:t>≥</w:t>
            </w:r>
            <w:r w:rsidRPr="000F4439">
              <w:rPr>
                <w:rFonts w:ascii="仿宋_GB2312" w:eastAsia="仿宋_GB2312" w:hAnsi="仿宋" w:cs="仿宋_GB2312" w:hint="eastAsia"/>
                <w:sz w:val="22"/>
                <w:szCs w:val="21"/>
              </w:rPr>
              <w:t>98.8%</w:t>
            </w:r>
          </w:p>
          <w:p w:rsidR="004072BE" w:rsidRPr="004072BE" w:rsidRDefault="004072BE" w:rsidP="004072BE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7</w:t>
            </w:r>
            <w:r w:rsidRPr="004072BE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、反应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真空泵电流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230A，泵腔水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≤30m</w:t>
            </w:r>
            <w:r w:rsidRPr="004072BE">
              <w:rPr>
                <w:rFonts w:ascii="宋体" w:hAnsi="宋体" w:cs="仿宋_GB2312" w:hint="eastAsia"/>
                <w:sz w:val="22"/>
                <w:szCs w:val="21"/>
                <w:vertAlign w:val="superscript"/>
              </w:rPr>
              <w:t>3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/h</w:t>
            </w:r>
          </w:p>
          <w:p w:rsidR="004072BE" w:rsidRPr="004072BE" w:rsidRDefault="004072BE" w:rsidP="004072BE">
            <w:pPr>
              <w:rPr>
                <w:rFonts w:ascii="仿宋_GB2312" w:eastAsia="仿宋_GB2312" w:hAnsi="仿宋" w:cs="仿宋"/>
                <w:sz w:val="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8</w:t>
            </w:r>
            <w:r w:rsidRPr="004072BE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、反应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轴流泵电流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>360A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9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、反应槽搅拌器电机电流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>167A</w:t>
            </w:r>
          </w:p>
          <w:p w:rsidR="004072BE" w:rsidRPr="004072BE" w:rsidRDefault="004072BE" w:rsidP="004072BE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2"/>
                <w:szCs w:val="21"/>
              </w:rPr>
              <w:t>10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>、消化槽搅拌器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电机电流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>140A</w:t>
            </w:r>
          </w:p>
          <w:p w:rsidR="004072BE" w:rsidRPr="004072BE" w:rsidRDefault="004072BE" w:rsidP="004072BE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2"/>
                <w:szCs w:val="21"/>
              </w:rPr>
              <w:t>11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、反应尾洗风机电流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>338A</w:t>
            </w:r>
          </w:p>
          <w:p w:rsidR="004072BE" w:rsidRPr="004072BE" w:rsidRDefault="004072BE" w:rsidP="004072BE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12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、过滤真空泵电流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</w:t>
            </w:r>
            <w:r w:rsidRPr="004072BE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28.7A，泵腔水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≤30m</w:t>
            </w:r>
            <w:r w:rsidRPr="004072BE">
              <w:rPr>
                <w:rFonts w:ascii="宋体" w:hAnsi="宋体" w:cs="仿宋_GB2312" w:hint="eastAsia"/>
                <w:sz w:val="22"/>
                <w:szCs w:val="21"/>
                <w:vertAlign w:val="superscript"/>
              </w:rPr>
              <w:t>3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/h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13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、闪蒸真空度：0.040～0.060M</w:t>
            </w:r>
            <w:r w:rsidRPr="004072BE">
              <w:rPr>
                <w:rFonts w:ascii="仿宋_GB2312" w:eastAsia="仿宋_GB2312"/>
                <w:sz w:val="22"/>
                <w:szCs w:val="21"/>
              </w:rPr>
              <w:t>p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14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、消化槽液位：45%～70%        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15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、冲盘水温度：60～70℃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16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、尾洗氟硅酸比重 1.05～1.10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17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、渣浆浓度30%～45%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18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、再浆槽液位 40～70%</w:t>
            </w:r>
          </w:p>
          <w:p w:rsidR="004072BE" w:rsidRPr="004072BE" w:rsidRDefault="004072BE" w:rsidP="004072BE"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19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、渣浆泵出口压力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≤1.75M</w:t>
            </w:r>
            <w:r w:rsidRPr="004072BE">
              <w:rPr>
                <w:rFonts w:ascii="宋体" w:hAnsi="宋体" w:cs="仿宋_GB2312"/>
                <w:sz w:val="22"/>
                <w:szCs w:val="21"/>
              </w:rPr>
              <w:t>p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a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，机封水压力 0.7～1.7M</w:t>
            </w:r>
            <w:r w:rsidRPr="004072BE">
              <w:rPr>
                <w:rFonts w:ascii="仿宋_GB2312" w:eastAsia="仿宋_GB2312"/>
                <w:sz w:val="22"/>
                <w:szCs w:val="21"/>
              </w:rPr>
              <w:t>p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a</w:t>
            </w:r>
          </w:p>
          <w:p w:rsidR="004072BE" w:rsidRPr="004072BE" w:rsidRDefault="004072BE" w:rsidP="0065585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20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 xml:space="preserve">、渣浆泵液力耦合器进口油温 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≤50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℃，出口油温</w:t>
            </w:r>
            <w:r w:rsidRPr="004072BE">
              <w:rPr>
                <w:rFonts w:ascii="宋体" w:hAnsi="宋体" w:cs="仿宋_GB2312" w:hint="eastAsia"/>
                <w:sz w:val="22"/>
                <w:szCs w:val="21"/>
              </w:rPr>
              <w:t>≤85</w:t>
            </w:r>
            <w:r w:rsidRPr="004072BE">
              <w:rPr>
                <w:rFonts w:ascii="仿宋_GB2312" w:eastAsia="仿宋_GB2312" w:hint="eastAsia"/>
                <w:sz w:val="22"/>
                <w:szCs w:val="21"/>
              </w:rPr>
              <w:t>℃</w:t>
            </w:r>
          </w:p>
          <w:p w:rsidR="00E241AF" w:rsidRPr="000F4439" w:rsidRDefault="00E241AF" w:rsidP="006558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0F443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磷酸车间稀酸主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Pr="000F4439" w:rsidRDefault="000F4439" w:rsidP="000F4439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_GB2312" w:hint="eastAsia"/>
                <w:sz w:val="22"/>
                <w:szCs w:val="21"/>
              </w:rPr>
              <w:t>1、联系1#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线、调度停往再浆槽打物料</w:t>
            </w:r>
          </w:p>
          <w:p w:rsidR="000F4439" w:rsidRPr="000F4439" w:rsidRDefault="000F4439" w:rsidP="000F4439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_GB2312" w:hint="eastAsia"/>
                <w:sz w:val="22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、联系渣场停回水</w:t>
            </w:r>
          </w:p>
          <w:p w:rsidR="000F4439" w:rsidRPr="000F4439" w:rsidRDefault="000F4439" w:rsidP="000F4439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_GB2312" w:hint="eastAsia"/>
                <w:sz w:val="22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 w:val="22"/>
                <w:szCs w:val="21"/>
              </w:rPr>
              <w:t>、萃取槽断酸、矿、消泡水</w:t>
            </w:r>
          </w:p>
          <w:p w:rsidR="00DA051F" w:rsidRPr="000F4439" w:rsidRDefault="000F4439" w:rsidP="000F4439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0F4439">
              <w:rPr>
                <w:rFonts w:ascii="仿宋_GB2312" w:eastAsia="仿宋_GB2312" w:hAnsi="仿宋_GB2312" w:hint="eastAsia"/>
                <w:sz w:val="22"/>
                <w:szCs w:val="21"/>
              </w:rPr>
              <w:t>4、关闭错气盘蒸汽阀门</w:t>
            </w:r>
          </w:p>
        </w:tc>
      </w:tr>
      <w:tr w:rsidR="002162E1" w:rsidTr="000F443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硫酸、磷酸、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  <w:bookmarkStart w:id="0" w:name="_GoBack"/>
        <w:bookmarkEnd w:id="0"/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8448E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8E" w:rsidRPr="00E92B46" w:rsidRDefault="0068448E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8E" w:rsidRDefault="0068448E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因四氟化硅泄漏引发中毒窒息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8E" w:rsidRDefault="0068448E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1、DCS操作工切断酸矿来源，阻止毒物产生和蔓延扩散。</w:t>
            </w:r>
          </w:p>
          <w:p w:rsidR="0068448E" w:rsidRDefault="0068448E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2、将中毒者移至空气新鲜处，立即进行人工呼吸及胸外心脏按压。</w:t>
            </w:r>
          </w:p>
          <w:p w:rsidR="0068448E" w:rsidRDefault="0068448E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3、立即拔打报警电话“68110”，并向车间、厂部报告。</w:t>
            </w:r>
          </w:p>
        </w:tc>
      </w:tr>
    </w:tbl>
    <w:p w:rsidR="00E241AF" w:rsidRDefault="002162E1" w:rsidP="0068448E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 xml:space="preserve"> </w:t>
      </w:r>
    </w:p>
    <w:p w:rsidR="00E241AF" w:rsidRDefault="00E241AF">
      <w:pPr>
        <w:rPr>
          <w:rFonts w:ascii="仿宋_GB2312" w:eastAsia="仿宋_GB2312" w:hAnsi="仿宋_GB2312" w:cs="仿宋_GB2312"/>
        </w:rPr>
      </w:pPr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2162E1"/>
    <w:rsid w:val="004072BE"/>
    <w:rsid w:val="00566883"/>
    <w:rsid w:val="00585837"/>
    <w:rsid w:val="0065585A"/>
    <w:rsid w:val="0068448E"/>
    <w:rsid w:val="00797349"/>
    <w:rsid w:val="008C0389"/>
    <w:rsid w:val="009842E7"/>
    <w:rsid w:val="00BA6E9E"/>
    <w:rsid w:val="00C32B10"/>
    <w:rsid w:val="00DA051F"/>
    <w:rsid w:val="00E241AF"/>
    <w:rsid w:val="00E92B46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dcterms:created xsi:type="dcterms:W3CDTF">2021-07-05T06:35:00Z</dcterms:created>
  <dcterms:modified xsi:type="dcterms:W3CDTF">2021-07-10T00:09:00Z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