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64146A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浓缩副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操岗位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64146A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磷酸车间浓缩副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64146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浓缩副</w:t>
            </w:r>
            <w:r w:rsidR="007973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操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79734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</w:t>
            </w:r>
            <w:r w:rsidR="006414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氟吸收、循环水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遵守本岗位的《浓缩岗位操作规程》、工艺指标，协助内操及时处置DCS报警联锁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8B57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配合内操严格控制各项工艺安全指标，防止发生各类安全、工艺、设备事故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对属地范围</w:t>
            </w:r>
            <w:r w:rsidRPr="00797349">
              <w:rPr>
                <w:rFonts w:ascii="仿宋_GB2312" w:eastAsia="仿宋_GB2312" w:hAnsi="宋体" w:hint="eastAsia"/>
                <w:sz w:val="24"/>
              </w:rPr>
              <w:t>内设备设施、应急、监测、消防设施情况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进行检查，有异常情况及时汇报处理，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并形成记录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6414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146A">
              <w:rPr>
                <w:rFonts w:ascii="仿宋_GB2312" w:eastAsia="仿宋_GB2312" w:hAnsi="宋体" w:hint="eastAsia"/>
                <w:sz w:val="24"/>
              </w:rPr>
              <w:t>协助主操落实作业前的工艺交出措施，并</w:t>
            </w:r>
            <w:r w:rsidRPr="0064146A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64146A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64146A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64146A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A96AE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6414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146A">
              <w:rPr>
                <w:rFonts w:ascii="仿宋_GB2312" w:eastAsia="仿宋_GB2312" w:hAnsi="宋体" w:hint="eastAsia"/>
                <w:sz w:val="24"/>
                <w:lang w:val="zh-CN"/>
              </w:rPr>
              <w:t>发现异常情况</w:t>
            </w:r>
            <w:r w:rsidRPr="0064146A">
              <w:rPr>
                <w:rFonts w:ascii="仿宋_GB2312" w:eastAsia="仿宋_GB2312" w:hAnsi="宋体" w:hint="eastAsia"/>
                <w:sz w:val="24"/>
              </w:rPr>
              <w:t>时</w:t>
            </w:r>
            <w:r w:rsidRPr="0064146A">
              <w:rPr>
                <w:rFonts w:ascii="仿宋_GB2312" w:eastAsia="仿宋_GB2312" w:hAnsi="宋体" w:hint="eastAsia"/>
                <w:sz w:val="24"/>
                <w:lang w:val="zh-CN"/>
              </w:rPr>
              <w:t>，及时合理处置</w:t>
            </w:r>
            <w:r w:rsidRPr="0064146A">
              <w:rPr>
                <w:rFonts w:ascii="仿宋_GB2312" w:eastAsia="仿宋_GB2312" w:hAnsi="宋体" w:hint="eastAsia"/>
                <w:sz w:val="24"/>
              </w:rPr>
              <w:t>并</w:t>
            </w:r>
            <w:r w:rsidRPr="0064146A">
              <w:rPr>
                <w:rFonts w:ascii="仿宋_GB2312" w:eastAsia="仿宋_GB2312" w:hAnsi="宋体" w:hint="eastAsia"/>
                <w:sz w:val="24"/>
                <w:lang w:val="zh-CN"/>
              </w:rPr>
              <w:t>报告</w:t>
            </w:r>
            <w:r w:rsidRPr="0064146A">
              <w:rPr>
                <w:rFonts w:ascii="仿宋_GB2312" w:eastAsia="仿宋_GB2312" w:hAnsi="宋体" w:hint="eastAsia"/>
                <w:sz w:val="24"/>
              </w:rPr>
              <w:t>班长，主操不在岗时行使主操职</w:t>
            </w:r>
            <w:r>
              <w:rPr>
                <w:rFonts w:ascii="仿宋_GB2312" w:eastAsia="仿宋_GB2312" w:hAnsi="宋体" w:hint="eastAsia"/>
                <w:sz w:val="28"/>
              </w:rPr>
              <w:t>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64146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磷酸车间浓缩副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接触浓酸、蒸汽、热水等高温物料造成烫伤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C32B1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64146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浓缩副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C32B10">
        <w:trPr>
          <w:trHeight w:val="4564"/>
          <w:jc w:val="center"/>
        </w:trPr>
        <w:tc>
          <w:tcPr>
            <w:tcW w:w="2313" w:type="dxa"/>
            <w:vAlign w:val="center"/>
          </w:tcPr>
          <w:p w:rsidR="00E241AF" w:rsidRDefault="00C32B10" w:rsidP="00C32B10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浓缩指标控制</w:t>
            </w:r>
          </w:p>
        </w:tc>
        <w:tc>
          <w:tcPr>
            <w:tcW w:w="7020" w:type="dxa"/>
            <w:vAlign w:val="center"/>
          </w:tcPr>
          <w:p w:rsidR="00C32B10" w:rsidRPr="00C32B10" w:rsidRDefault="00790BD7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1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、加热器列管清洗压力  ≤20MPa</w:t>
            </w:r>
          </w:p>
          <w:p w:rsidR="00C32B10" w:rsidRPr="00C32B10" w:rsidRDefault="00790BD7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2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、加热器壳程试压压力  200kPa，30分钟</w:t>
            </w:r>
          </w:p>
          <w:p w:rsidR="00C32B10" w:rsidRPr="00C32B10" w:rsidRDefault="00790BD7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3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、加热器清洗温度70</w:t>
            </w:r>
            <w:r w:rsidR="00C32B10" w:rsidRPr="00C32B10">
              <w:rPr>
                <w:rFonts w:ascii="仿宋_GB2312" w:eastAsia="仿宋_GB2312" w:hint="eastAsia"/>
                <w:sz w:val="24"/>
                <w:szCs w:val="21"/>
              </w:rPr>
              <w:t>～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80℃，清洗时间</w:t>
            </w:r>
            <w:r w:rsidR="00C32B10" w:rsidRPr="00C32B10">
              <w:rPr>
                <w:rFonts w:ascii="仿宋_GB2312" w:eastAsia="仿宋_GB2312" w:hint="eastAsia"/>
                <w:sz w:val="24"/>
                <w:szCs w:val="21"/>
              </w:rPr>
              <w:t>≥8h</w:t>
            </w:r>
          </w:p>
          <w:p w:rsidR="00C32B10" w:rsidRPr="00C32B10" w:rsidRDefault="00790BD7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4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、浓缩真空泵电流 ≤280A，进水量≤30</w:t>
            </w:r>
            <w:r w:rsidR="00C32B10" w:rsidRPr="00C32B10">
              <w:rPr>
                <w:rFonts w:ascii="仿宋_GB2312" w:eastAsia="仿宋_GB2312" w:hAnsi="宋体" w:hint="eastAsia"/>
                <w:kern w:val="0"/>
                <w:sz w:val="36"/>
                <w:szCs w:val="28"/>
              </w:rPr>
              <w:t xml:space="preserve"> 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m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  <w:vertAlign w:val="superscript"/>
              </w:rPr>
              <w:t>3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/h</w:t>
            </w:r>
          </w:p>
          <w:p w:rsidR="00C32B10" w:rsidRPr="00C32B10" w:rsidRDefault="00790BD7" w:rsidP="00C32B10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5</w:t>
            </w:r>
            <w:r w:rsidR="00C32B10" w:rsidRPr="00C32B10">
              <w:rPr>
                <w:rFonts w:ascii="仿宋_GB2312" w:eastAsia="仿宋_GB2312" w:hint="eastAsia"/>
                <w:sz w:val="24"/>
                <w:szCs w:val="21"/>
              </w:rPr>
              <w:t>、氟硅酸取出比重1.10～1.16g/ml</w:t>
            </w:r>
          </w:p>
          <w:p w:rsidR="00C32B10" w:rsidRPr="00C32B10" w:rsidRDefault="00790BD7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6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、浓酸抗沉积剂加入量 200Kg/套*天</w:t>
            </w:r>
          </w:p>
          <w:p w:rsidR="00C32B10" w:rsidRPr="00C32B10" w:rsidRDefault="00790BD7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7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、循环水泵电流 ≤36A</w:t>
            </w:r>
          </w:p>
          <w:p w:rsidR="00C32B10" w:rsidRPr="00C32B10" w:rsidRDefault="00790BD7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、循环水池液位 40</w:t>
            </w:r>
            <w:r w:rsidR="00C32B10" w:rsidRPr="00C32B10">
              <w:rPr>
                <w:rFonts w:ascii="仿宋_GB2312" w:eastAsia="仿宋_GB2312" w:hint="eastAsia"/>
                <w:sz w:val="24"/>
                <w:szCs w:val="21"/>
              </w:rPr>
              <w:t>～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80%</w:t>
            </w:r>
          </w:p>
          <w:p w:rsidR="00E241AF" w:rsidRDefault="00790BD7" w:rsidP="00C32B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9</w:t>
            </w:r>
            <w:r w:rsidR="00C32B10"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、小循环水PH值</w:t>
            </w:r>
            <w:r w:rsidR="00C32B10" w:rsidRPr="00C32B10">
              <w:rPr>
                <w:rFonts w:ascii="仿宋_GB2312" w:eastAsia="仿宋_GB2312" w:hint="eastAsia"/>
                <w:sz w:val="24"/>
                <w:szCs w:val="21"/>
              </w:rPr>
              <w:t>≥6</w:t>
            </w: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790BD7" w:rsidRDefault="00790BD7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 w:rsidR="00790BD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副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E241A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26DF4">
              <w:rPr>
                <w:rFonts w:ascii="仿宋_GB2312" w:eastAsia="仿宋_GB2312" w:hint="eastAsia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37" w:rsidRPr="00E26DF4" w:rsidRDefault="00585837" w:rsidP="00585837">
            <w:pPr>
              <w:rPr>
                <w:rFonts w:ascii="仿宋_GB2312" w:eastAsia="仿宋_GB2312" w:hAnsi="仿宋_GB2312"/>
                <w:szCs w:val="21"/>
              </w:rPr>
            </w:pPr>
            <w:r w:rsidRPr="00E26DF4">
              <w:rPr>
                <w:rFonts w:ascii="仿宋_GB2312" w:eastAsia="仿宋_GB2312" w:hAnsi="仿宋_GB2312" w:hint="eastAsia"/>
                <w:szCs w:val="21"/>
              </w:rPr>
              <w:t>1</w:t>
            </w:r>
            <w:r w:rsidR="001E66C4">
              <w:rPr>
                <w:rFonts w:ascii="仿宋_GB2312" w:eastAsia="仿宋_GB2312" w:hAnsi="仿宋_GB2312" w:hint="eastAsia"/>
                <w:szCs w:val="21"/>
              </w:rPr>
              <w:t>、关闭进浓缩系统的蒸汽总阀门</w:t>
            </w:r>
          </w:p>
          <w:p w:rsidR="00585837" w:rsidRPr="00E26DF4" w:rsidRDefault="00585837" w:rsidP="00585837">
            <w:pPr>
              <w:rPr>
                <w:rFonts w:ascii="仿宋_GB2312" w:eastAsia="仿宋_GB2312" w:hAnsi="仿宋_GB2312"/>
                <w:szCs w:val="21"/>
              </w:rPr>
            </w:pPr>
            <w:r w:rsidRPr="00E26DF4">
              <w:rPr>
                <w:rFonts w:ascii="仿宋_GB2312" w:eastAsia="仿宋_GB2312" w:hAnsi="仿宋_GB2312" w:hint="eastAsia"/>
                <w:szCs w:val="21"/>
              </w:rPr>
              <w:t>2、</w:t>
            </w:r>
            <w:r w:rsidR="001E66C4">
              <w:rPr>
                <w:rFonts w:ascii="仿宋_GB2312" w:eastAsia="仿宋_GB2312" w:hAnsi="仿宋_GB2312" w:hint="eastAsia"/>
                <w:szCs w:val="21"/>
              </w:rPr>
              <w:t>关闭一、二氟吸收补水阀门</w:t>
            </w:r>
          </w:p>
          <w:p w:rsidR="00585837" w:rsidRDefault="00585837" w:rsidP="00585837">
            <w:pPr>
              <w:rPr>
                <w:rFonts w:ascii="仿宋_GB2312" w:eastAsia="仿宋_GB2312" w:hAnsi="仿宋_GB2312"/>
                <w:szCs w:val="21"/>
              </w:rPr>
            </w:pPr>
            <w:r w:rsidRPr="00E26DF4">
              <w:rPr>
                <w:rFonts w:ascii="仿宋_GB2312" w:eastAsia="仿宋_GB2312" w:hAnsi="仿宋_GB2312" w:hint="eastAsia"/>
                <w:szCs w:val="21"/>
              </w:rPr>
              <w:t>3、</w:t>
            </w:r>
            <w:r w:rsidR="001E66C4">
              <w:rPr>
                <w:rFonts w:ascii="仿宋_GB2312" w:eastAsia="仿宋_GB2312" w:hAnsi="仿宋_GB2312" w:hint="eastAsia"/>
                <w:szCs w:val="21"/>
              </w:rPr>
              <w:t>关闭循环水补水阀门</w:t>
            </w:r>
          </w:p>
          <w:p w:rsidR="00E241AF" w:rsidRPr="00585837" w:rsidRDefault="00585837" w:rsidP="00585837">
            <w:pPr>
              <w:rPr>
                <w:rFonts w:ascii="仿宋_GB2312" w:eastAsia="仿宋_GB2312" w:hAnsi="仿宋_GB2312"/>
                <w:szCs w:val="21"/>
              </w:rPr>
            </w:pPr>
            <w:r w:rsidRPr="00E26DF4">
              <w:rPr>
                <w:rFonts w:ascii="仿宋_GB2312" w:eastAsia="仿宋_GB2312" w:hAnsi="仿宋_GB2312" w:hint="eastAsia"/>
                <w:szCs w:val="21"/>
              </w:rPr>
              <w:t>4</w:t>
            </w:r>
            <w:r w:rsidR="001E66C4">
              <w:rPr>
                <w:rFonts w:ascii="仿宋_GB2312" w:eastAsia="仿宋_GB2312" w:hAnsi="仿宋_GB2312" w:hint="eastAsia"/>
                <w:szCs w:val="21"/>
              </w:rPr>
              <w:t>、协助提升库区槽耙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2162E1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因</w:t>
            </w:r>
            <w:r>
              <w:rPr>
                <w:rFonts w:ascii="仿宋_GB2312" w:eastAsia="仿宋_GB2312" w:hint="eastAsia"/>
                <w:bCs/>
                <w:sz w:val="22"/>
              </w:rPr>
              <w:t>操作不当或高温物料（</w:t>
            </w:r>
            <w:r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磷酸、</w:t>
            </w:r>
            <w:r w:rsidRPr="00585837">
              <w:rPr>
                <w:rFonts w:ascii="仿宋_GB2312" w:eastAsia="仿宋_GB2312" w:hint="eastAsia"/>
                <w:bCs/>
                <w:sz w:val="22"/>
              </w:rPr>
              <w:t>热水）泄漏引起灼烫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2162E1" w:rsidP="007465B2">
            <w:pPr>
              <w:rPr>
                <w:rFonts w:ascii="仿宋_GB2312" w:eastAsia="仿宋_GB2312"/>
                <w:bCs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1、将受伤人员撤离至安全区域，迅速脱去被化学物沾染的衣物，用流动清水冲洗创面15-30分钟。</w:t>
            </w:r>
          </w:p>
          <w:p w:rsidR="002162E1" w:rsidRPr="00585837" w:rsidRDefault="002162E1" w:rsidP="007465B2">
            <w:pPr>
              <w:rPr>
                <w:rFonts w:ascii="仿宋_GB2312" w:eastAsia="仿宋_GB2312"/>
                <w:bCs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2、如溅入眼内，应立即拉开眼睑，使溅入物流出，同时迅速用大量清水冲洗。</w:t>
            </w:r>
          </w:p>
          <w:p w:rsidR="002162E1" w:rsidRPr="00585837" w:rsidRDefault="002162E1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</w:t>
            </w:r>
            <w:r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 w:rsidRPr="00E92B4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:rsidR="00E241AF" w:rsidRDefault="00E241AF" w:rsidP="006A162A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1E66C4"/>
    <w:rsid w:val="002162E1"/>
    <w:rsid w:val="00585837"/>
    <w:rsid w:val="0064146A"/>
    <w:rsid w:val="006A162A"/>
    <w:rsid w:val="0076300D"/>
    <w:rsid w:val="00790BD7"/>
    <w:rsid w:val="00797349"/>
    <w:rsid w:val="008B577F"/>
    <w:rsid w:val="00A96AE1"/>
    <w:rsid w:val="00C32B10"/>
    <w:rsid w:val="00E241AF"/>
    <w:rsid w:val="00E92B46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12</cp:revision>
  <dcterms:created xsi:type="dcterms:W3CDTF">2021-07-05T06:35:00Z</dcterms:created>
  <dcterms:modified xsi:type="dcterms:W3CDTF">2021-07-10T00:10:00Z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