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磷肥厂精制酸车间</w:t>
      </w:r>
    </w:p>
    <w:p>
      <w:pPr>
        <w:rPr>
          <w:rFonts w:ascii="仿宋_GB2312" w:hAnsi="仿宋_GB2312" w:eastAsia="仿宋_GB2312" w:cs="仿宋_GB2312"/>
          <w:b/>
          <w:bCs/>
          <w:color w:val="000000"/>
          <w:kern w:val="0"/>
          <w:sz w:val="56"/>
          <w:szCs w:val="5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</w:rPr>
        <w:t>四</w:t>
      </w:r>
    </w:p>
    <w:p>
      <w:pPr>
        <w:jc w:val="center"/>
        <w:rPr>
          <w:rFonts w:ascii="仿宋_GB2312" w:hAnsi="仿宋_GB2312" w:eastAsia="仿宋_GB2312" w:cs="仿宋_GB2312"/>
          <w:b/>
          <w:bCs/>
          <w:sz w:val="96"/>
          <w:szCs w:val="9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</w:rPr>
        <w:t>知</w:t>
      </w:r>
    </w:p>
    <w:p>
      <w:pPr>
        <w:jc w:val="center"/>
        <w:rPr>
          <w:rFonts w:ascii="仿宋_GB2312" w:hAnsi="仿宋_GB2312" w:eastAsia="仿宋_GB2312" w:cs="仿宋_GB2312"/>
          <w:b/>
          <w:bCs/>
          <w:sz w:val="96"/>
          <w:szCs w:val="9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56"/>
          <w:szCs w:val="56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</w:rPr>
        <w:t>卡</w:t>
      </w:r>
    </w:p>
    <w:p>
      <w:pPr>
        <w:jc w:val="center"/>
        <w:rPr>
          <w:rFonts w:ascii="仿宋_GB2312" w:hAnsi="仿宋_GB2312" w:eastAsia="仿宋_GB2312" w:cs="仿宋_GB2312"/>
          <w:b/>
          <w:bCs/>
          <w:sz w:val="56"/>
          <w:szCs w:val="5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56"/>
          <w:szCs w:val="56"/>
        </w:rPr>
      </w:pPr>
      <w:r>
        <w:rPr>
          <w:rFonts w:hint="eastAsia" w:ascii="仿宋_GB2312" w:eastAsia="仿宋_GB2312"/>
          <w:b/>
          <w:sz w:val="56"/>
          <w:szCs w:val="56"/>
        </w:rPr>
        <w:t>萃取、蒸发</w:t>
      </w:r>
      <w:r>
        <w:rPr>
          <w:rFonts w:hint="eastAsia" w:ascii="仿宋_GB2312" w:hAnsi="仿宋_GB2312" w:eastAsia="仿宋_GB2312" w:cs="仿宋_GB2312"/>
          <w:b/>
          <w:bCs/>
          <w:sz w:val="56"/>
          <w:szCs w:val="56"/>
        </w:rPr>
        <w:t>岗位</w:t>
      </w:r>
    </w:p>
    <w:p>
      <w:pPr>
        <w:ind w:left="-2" w:leftChars="-257" w:hanging="538" w:hangingChars="149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t>精制酸车间</w:t>
      </w:r>
      <w:r>
        <w:rPr>
          <w:rFonts w:hint="eastAsia" w:ascii="仿宋_GB2312" w:eastAsia="仿宋_GB2312"/>
          <w:b/>
          <w:sz w:val="36"/>
          <w:szCs w:val="36"/>
          <w:u w:val="single"/>
        </w:rPr>
        <w:t>萃取、蒸发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岗位安全生产责任卡</w:t>
      </w:r>
    </w:p>
    <w:tbl>
      <w:tblPr>
        <w:tblStyle w:val="4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2824"/>
        <w:gridCol w:w="2201"/>
        <w:gridCol w:w="26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3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69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萃取、蒸发</w:t>
            </w:r>
          </w:p>
        </w:tc>
        <w:tc>
          <w:tcPr>
            <w:tcW w:w="13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责任范围</w:t>
            </w:r>
          </w:p>
        </w:tc>
        <w:tc>
          <w:tcPr>
            <w:tcW w:w="161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精制酸装置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34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严格执行相关的法律、法规、规章、标准及公司规章制度；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严格遵守本岗位的操作规程、工艺指标，及时处置DCS报警联锁；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熟悉本岗位的工艺和安全控制基本要求，并熟练掌握萃取剂、43%磷酸、98%硫酸、蒸汽的理化性质、特点及应急处理要求；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熟练掌握本岗位的风险点及职业危害因素，并对外来人员进行安全告知；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严格控制工艺安全指标，防止发生萃取剂泄漏、燃爆等重大事故；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正确佩戴和使用劳动防护用品，并对外来人员的穿戴情况进行检查、制止及报告；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本操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岗位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zh-CN"/>
              </w:rPr>
              <w:t>中控室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内应急、消防、设施情况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zh-CN"/>
              </w:rPr>
              <w:t>进行检查，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并形成记录，特别是可燃气体和有毒气体监测、火灾报警系统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，有异常及时处理、汇报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协助班长落实作业前的工艺交出措施，并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zh-CN"/>
              </w:rPr>
              <w:t>对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属地范围内各种作业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zh-CN"/>
              </w:rPr>
              <w:t>的安全措施、行为规范等进行监督检查，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及时制止或举报“三违”行为；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参与本岗位相关的工艺危害分析、工作危害分析、开车前安全检查、隐患排查、事故调查、应急演练等；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监督进入属地范围的承包商的作业行为；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接受安全生产教育和培训，掌握本岗位所需的安全生产知识，并对安全生产提出合理化建议；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zh-CN"/>
              </w:rPr>
              <w:t>发现异常情况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时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zh-CN"/>
              </w:rPr>
              <w:t>，及时合理处置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并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zh-CN"/>
              </w:rPr>
              <w:t>报告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班长，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紧急情况有权先处理再汇报；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车间和公司制度规定的其它安全职责。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t>精制酸车间萃取、蒸发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岗位风险辨识卡</w:t>
      </w:r>
    </w:p>
    <w:tbl>
      <w:tblPr>
        <w:tblStyle w:val="4"/>
        <w:tblW w:w="97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752"/>
        <w:gridCol w:w="1467"/>
        <w:gridCol w:w="1190"/>
        <w:gridCol w:w="6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主要控制措施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硫酸、磷酸泄漏造成人员灼烫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人员伤亡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1、认真巡检，查找系统存在漏点，及时处理。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2、精心操作，控制各槽、储罐液位在指标范围之内。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3、规范硫酸取样操作。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4、按照《精制酸车间应急救援预案》处置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萃取剂泄漏引发火灾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人员伤亡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1、加强明火管理，特殊作业经审批后方可实施。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2、加强巡检，萃取剂泄漏及时处理。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3、确保防静电设施完好，防止产生静电。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4、防爆区域内使用防爆电气设备及通讯工具。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5、配置消防器材，及时扑灭初期火灾。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高温物料泄漏造成人员烫伤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人员伤亡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按时进行巡回检查，及时发现问题，及时反馈处理，将高温物料泄漏事故消灭在萌芽状态；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严格执行操作规程，严格控制各项指标；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加大隐患排查力度，及时消除事故隐患，确保设备正常运行；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强化教育培训，提高人员操作认知和应急处理水平。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不接触低压带电体，不靠近高压带电体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规范电气设备接地、接零，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t>精制酸车间萃取、蒸发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岗位操作规程卡</w:t>
      </w:r>
    </w:p>
    <w:tbl>
      <w:tblPr>
        <w:tblStyle w:val="4"/>
        <w:tblW w:w="933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2313"/>
        <w:gridCol w:w="70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正常控制要点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2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萃取工艺控制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按要求控制各储槽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槽液位。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严格按要求比例加入各物料。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定时检查萃取槽、洗涤反萃槽澄清室及分相界面液位。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控制常压回收溶剂的冷凝温度，确保溶剂回收效果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5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定时检查各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物料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的流动情况，及时发现管路的堵塞现象，并及时疏通管路。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蒸发工艺控制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严格按工艺指标稳定控制各蒸馏温度，确保在指标范围内。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严格按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要求配制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洗水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调节各闪蒸室进料流量，保证连续稳定运行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观察气液分离器中水相与有机相的分层面，保证物料不混流。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按要求巡检，发现问题及时处理汇报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ind w:left="-178" w:leftChars="-85" w:firstLine="177" w:firstLineChars="49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t>精制酸车间萃取、蒸发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岗位应急处置卡</w:t>
      </w:r>
    </w:p>
    <w:tbl>
      <w:tblPr>
        <w:tblStyle w:val="4"/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2527"/>
        <w:gridCol w:w="51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处置措施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硫酸、磷酸泄漏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一、现场处置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1、管道或储罐立即停止进酸。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2、管道泄漏时外操穿好防护服，关闭泄漏点前、后阀门；利用雾状水进行烟雾压制，泄漏的酸收集用石灰中和。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3、储罐少量泄漏时首先切断泄漏源，并利用石灰进行中和处置，并转移至安全地点。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4、精制酸库区大量泄漏时，关闭库区雨污切换阀，将泄漏的硫酸、磷酸放置在收集池内，利用收集泵转移至未泄漏酸罐内。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二、人员救护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人员被酸灼伤时，利用附近安全地点的冲淋设施对受伤人员至少用清水冲淋30分钟以上，及时送医院救治。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扩大应急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人员撤离，向上级汇报，请求其它救援力量。</w:t>
            </w:r>
          </w:p>
        </w:tc>
      </w:tr>
    </w:tbl>
    <w:p>
      <w:pPr>
        <w:ind w:left="-178" w:leftChars="-85" w:firstLine="117" w:firstLineChars="49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t>精制酸车间萃取、蒸发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岗位应急处置卡</w:t>
      </w:r>
    </w:p>
    <w:tbl>
      <w:tblPr>
        <w:tblStyle w:val="4"/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2527"/>
        <w:gridCol w:w="51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处置措施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萃取剂泄漏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一、现场处置：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1、主操迅速向当班班长汇报泄漏情况，班长安排外操至现场检查泄漏情况，根据泄漏量大小，系统作紧急停车处置，并向相关人员反映情况。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2、泄漏量较少，立即向上级领导反映，作相关处置。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3、泄漏量较大，系统作紧急停车处置，佩戴隔离式防毒器具消除泄漏源，并实行道路封闭，禁止无关人员进行。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二、人员救护：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若发现有人受伤或中毒，救护人员佩戴好空气呼吸器，将伤员救出，送医院救治。</w:t>
            </w:r>
          </w:p>
          <w:p>
            <w:pPr>
              <w:spacing w:line="40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三、扩大应急：</w:t>
            </w:r>
          </w:p>
          <w:p>
            <w:pPr>
              <w:spacing w:line="400" w:lineRule="atLeast"/>
              <w:ind w:firstLine="420" w:firstLineChars="200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人员撤离，向上级汇报，请求其它救援力量。</w:t>
            </w:r>
          </w:p>
        </w:tc>
      </w:tr>
    </w:tbl>
    <w:p>
      <w:pPr>
        <w:ind w:left="-178" w:leftChars="-85" w:firstLine="117" w:firstLineChars="49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t>精制酸车间萃取、蒸发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岗位应急处置卡</w:t>
      </w:r>
    </w:p>
    <w:tbl>
      <w:tblPr>
        <w:tblStyle w:val="4"/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2527"/>
        <w:gridCol w:w="51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处置措施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高温物料烫伤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一、现场处置：</w:t>
            </w:r>
          </w:p>
          <w:p>
            <w:pPr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1、事故第一发现者应立即向当班班长汇报，当班班长接到汇报后立即向车间主任报告。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2、班长立即组织操作人员清离现场及周围作业人员，停止其它作业，安排专人设置警戒区，严格限制人员和车辆出入。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二、人员救护：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若发现有人烫伤，救护人员做好个人防护，将伤员救出，就近用清水冲洗30分钟以上，送医院救治。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扩大应急：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人员撤离，向上级汇报，请求其它救援力量。</w:t>
            </w:r>
          </w:p>
        </w:tc>
      </w:tr>
    </w:tbl>
    <w:p>
      <w:pPr>
        <w:ind w:left="-178" w:leftChars="-85" w:firstLine="117" w:firstLineChars="49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</w:rPr>
        <w:t>精制酸车间萃取、蒸发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岗位应急处置卡</w:t>
      </w:r>
    </w:p>
    <w:tbl>
      <w:tblPr>
        <w:tblStyle w:val="4"/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2527"/>
        <w:gridCol w:w="51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处置措施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断电跳闸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一、现场处置：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迅速关闭各高位槽出口阀门，关闭蒸发系统及冷冻机组蒸汽阀门，关闭循环水泵出口阀门。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二、人员救护：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若发现有人受伤或中毒，救护人员佩戴好空气呼吸器，将伤员救出，送医院救治。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三、扩大应急：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向上级汇报，请求其它救援力量。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03CCB"/>
    <w:multiLevelType w:val="singleLevel"/>
    <w:tmpl w:val="A6C03C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BFC"/>
    <w:rsid w:val="000C2BFC"/>
    <w:rsid w:val="001657B5"/>
    <w:rsid w:val="00166735"/>
    <w:rsid w:val="00182349"/>
    <w:rsid w:val="00233767"/>
    <w:rsid w:val="00324CF3"/>
    <w:rsid w:val="003B60D7"/>
    <w:rsid w:val="00436F0C"/>
    <w:rsid w:val="00460BA5"/>
    <w:rsid w:val="004B57B8"/>
    <w:rsid w:val="00534496"/>
    <w:rsid w:val="005F4B1D"/>
    <w:rsid w:val="00676B81"/>
    <w:rsid w:val="006C60BB"/>
    <w:rsid w:val="007A282D"/>
    <w:rsid w:val="008A00DF"/>
    <w:rsid w:val="009D2C78"/>
    <w:rsid w:val="00A007F4"/>
    <w:rsid w:val="00A01ECB"/>
    <w:rsid w:val="00A551F5"/>
    <w:rsid w:val="00A83ABF"/>
    <w:rsid w:val="00B246C0"/>
    <w:rsid w:val="00B74BF3"/>
    <w:rsid w:val="00BB70BE"/>
    <w:rsid w:val="00BF122E"/>
    <w:rsid w:val="00C852A0"/>
    <w:rsid w:val="00D02411"/>
    <w:rsid w:val="00D327A0"/>
    <w:rsid w:val="00EC6E20"/>
    <w:rsid w:val="00F72CB7"/>
    <w:rsid w:val="00FA459D"/>
    <w:rsid w:val="00FB274D"/>
    <w:rsid w:val="0FE86744"/>
    <w:rsid w:val="15BF21EF"/>
    <w:rsid w:val="2B704B52"/>
    <w:rsid w:val="35B22328"/>
    <w:rsid w:val="3EFB74A3"/>
    <w:rsid w:val="4D343888"/>
    <w:rsid w:val="697108FB"/>
    <w:rsid w:val="746D5F92"/>
    <w:rsid w:val="7F9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339</Words>
  <Characters>1934</Characters>
  <Lines>16</Lines>
  <Paragraphs>4</Paragraphs>
  <TotalTime>3</TotalTime>
  <ScaleCrop>false</ScaleCrop>
  <LinksUpToDate>false</LinksUpToDate>
  <CharactersWithSpaces>2269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2021-07-07T06:25:00Z</dcterms:created>
  <dc:creator>张云</dc:creator>
  <cp:lastModifiedBy>Administrator</cp:lastModifiedBy>
  <dcterms:modified xsi:type="dcterms:W3CDTF">2021-07-08T06:41:23Z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E5A95AF732E14A05A760313422691415</vt:lpwstr>
  </property>
</Properties>
</file>